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Rotazione PO per prevenzione corruzione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Domanda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Nel nostro ente non si riesce a stabilire la rotazione del personale, in particolare di quello apicale, senza determinare inefficienze e malfunzionamenti ai servizi erogati. Quale soluzione organizzativa possiamo adottare nel triennio 2017/2019?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Risposta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La rotazione del personale è una misura organizzativa preventiva, finalizzata a limitare il consolidarsi di relazioni che possano alimentare dinamiche improprie nella gestione amministrativa, conseguenti alla permanenza nel tempo di determinati dipendenti nel medesimo ruolo o funzione. Dovrebbe configurarsi come una “misura ordinaria” di gestione e utilizzo delle risorse umane, che costituisce anche un valido strumento per la formazione delle stesse.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Pertanto, le amministrazioni sono, comunque, tenute ad adottare idonee misure per evitare che il soggetto non sottoposto a rotazione abbia il controllo esclusivo dei processi, specie di quelli più esposti al rischio di corruzione. Queste diverse misure dovrebbero sortire un effetto analogo a quello della rotazione.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Se l’ente è di piccole o medie dimensioni e, per tale motivo, non riesce a garantire la rotazione, si consiglia di introdurre misure organizzative che consentano: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la condivisione dei procedimenti tra più funzionari, anche come attività propedeutica alla rotazione (ad esempio incentivando la sostituzione tra gli stessi in caso di assenza);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la separazione delle diverse fai procedimentali, ad esempio con l’attribuzione formale della responsabilità istruttoria a soggetto diverso da quello responsabile ad adottare il provvedimento finale, evitando che su un medesimo soggetto si concentrino in via esclusiva mansioni e attività;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la programmazione di percorsi di formazione che consentano una riqualificazione professionale del personale in funzione della fungibilità in più settori lavorativi;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la pianificazione pluriennale della rotazione con indicazione dei criteri (in particolare tra il personale per cui non è richiesta una specifica formazione scolastica e professionale);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misure di potenziamento della trasparenza “interna” delle attività che assicurino la circolarità delle informazioni.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Riferimenti normativi: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art. 1, comma 4, legge n. 190/2012;</w:t>
      </w:r>
    </w:p>
    <w:p w:rsidR="00AD55B0" w:rsidRPr="00AD55B0" w:rsidRDefault="00AD55B0" w:rsidP="00AD55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D55B0">
        <w:rPr>
          <w:rFonts w:ascii="Times New Roman" w:eastAsia="Times New Roman" w:hAnsi="Times New Roman" w:cs="Times New Roman"/>
          <w:sz w:val="24"/>
          <w:szCs w:val="24"/>
          <w:lang w:eastAsia="it-IT"/>
        </w:rPr>
        <w:t>Piano Nazionale Anticorruzione 2016, paragrafo 7.2.2 (delibera ANAC n. 831 del 3 agosto 2016).</w:t>
      </w:r>
    </w:p>
    <w:p w:rsidR="00D2474E" w:rsidRDefault="00D2474E">
      <w:bookmarkStart w:id="0" w:name="_GoBack"/>
      <w:bookmarkEnd w:id="0"/>
    </w:p>
    <w:sectPr w:rsidR="00D2474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5B0"/>
    <w:rsid w:val="0050090E"/>
    <w:rsid w:val="00871591"/>
    <w:rsid w:val="00AD55B0"/>
    <w:rsid w:val="00D2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84664C-2C6F-4359-B32D-ED542E498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D2474E"/>
    <w:pPr>
      <w:keepNext/>
      <w:keepLines/>
      <w:spacing w:before="240" w:after="0"/>
      <w:outlineLvl w:val="0"/>
    </w:pPr>
    <w:rPr>
      <w:rFonts w:ascii="Arial Black" w:eastAsiaTheme="majorEastAsia" w:hAnsi="Arial Black" w:cstheme="majorBidi"/>
      <w:b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2474E"/>
    <w:pPr>
      <w:keepNext/>
      <w:keepLines/>
      <w:spacing w:before="40" w:after="0"/>
      <w:outlineLvl w:val="1"/>
    </w:pPr>
    <w:rPr>
      <w:rFonts w:ascii="Arial" w:eastAsiaTheme="majorEastAsia" w:hAnsi="Arial" w:cstheme="majorBidi"/>
      <w:b/>
      <w:sz w:val="28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D2474E"/>
    <w:pPr>
      <w:keepNext/>
      <w:keepLines/>
      <w:spacing w:before="40" w:after="0"/>
      <w:outlineLvl w:val="2"/>
    </w:pPr>
    <w:rPr>
      <w:rFonts w:ascii="Arial" w:eastAsiaTheme="majorEastAsia" w:hAnsi="Arial" w:cstheme="majorBidi"/>
      <w:b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2474E"/>
    <w:rPr>
      <w:rFonts w:ascii="Arial Black" w:eastAsiaTheme="majorEastAsia" w:hAnsi="Arial Black" w:cstheme="majorBidi"/>
      <w:b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D2474E"/>
    <w:rPr>
      <w:rFonts w:ascii="Arial" w:eastAsiaTheme="majorEastAsia" w:hAnsi="Arial" w:cstheme="majorBidi"/>
      <w:b/>
      <w:sz w:val="28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D2474E"/>
    <w:rPr>
      <w:rFonts w:ascii="Arial" w:eastAsiaTheme="majorEastAsia" w:hAnsi="Arial" w:cstheme="majorBid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6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94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71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90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4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058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4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6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81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05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53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82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93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51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393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53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51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87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43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6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80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02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069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2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04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181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1989</Characters>
  <Application>Microsoft Office Word</Application>
  <DocSecurity>0</DocSecurity>
  <Lines>16</Lines>
  <Paragraphs>4</Paragraphs>
  <ScaleCrop>false</ScaleCrop>
  <Company/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STUDIO SANTORO</dc:creator>
  <cp:keywords/>
  <dc:description/>
  <cp:lastModifiedBy>STUDIO SANTORO</cp:lastModifiedBy>
  <cp:revision>1</cp:revision>
  <dcterms:created xsi:type="dcterms:W3CDTF">2017-10-26T09:58:00Z</dcterms:created>
  <dcterms:modified xsi:type="dcterms:W3CDTF">2017-10-26T09:58:00Z</dcterms:modified>
</cp:coreProperties>
</file>